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芙蓉区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芙蓉区202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年公开招聘中小学幼儿园教师笔试工作已结束，按照《长沙市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芙蓉区202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年公开招聘中小学幼儿园教师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简章》的要求，现将资格审查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有关安排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一、时间及地点安排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请入围人员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（具体名单见附件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eastAsia="zh-CN"/>
        </w:rPr>
        <w:t>日（周三）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上午8</w:t>
      </w:r>
      <w:r>
        <w:rPr>
          <w:rFonts w:hint="eastAsia" w:ascii="仿宋_GB2312" w:eastAsia="仿宋_GB2312"/>
          <w:b/>
          <w:bCs w:val="0"/>
          <w:sz w:val="32"/>
          <w:szCs w:val="32"/>
        </w:rPr>
        <w:t>：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32"/>
          <w:szCs w:val="32"/>
        </w:rPr>
        <w:t>0—1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 w:val="0"/>
          <w:sz w:val="32"/>
          <w:szCs w:val="32"/>
        </w:rPr>
        <w:t>：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/>
          <w:bCs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持相关证件及资料到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eastAsia="zh-CN"/>
        </w:rPr>
        <w:t>芙蓉区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科普艺体中心（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eastAsia="zh-CN"/>
        </w:rPr>
        <w:t>长沙市芙蓉区恒达路168号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参加资格审查，未在规定时间内参加资格审查的人员视同自动放弃。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二、资格审查材料要求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参加资格审查需提供下列材料的原件和复印件</w:t>
      </w:r>
      <w:r>
        <w:rPr>
          <w:rFonts w:hint="eastAsia" w:ascii="仿宋_GB2312" w:eastAsia="仿宋_GB2312"/>
          <w:b w:val="0"/>
          <w:bCs/>
          <w:sz w:val="32"/>
          <w:szCs w:val="32"/>
        </w:rPr>
        <w:t>（复印件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统一采用A4纸，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b w:val="0"/>
          <w:bCs/>
          <w:sz w:val="32"/>
          <w:szCs w:val="32"/>
        </w:rPr>
        <w:t>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所列</w:t>
      </w:r>
      <w:r>
        <w:rPr>
          <w:rFonts w:hint="eastAsia" w:ascii="仿宋_GB2312" w:eastAsia="仿宋_GB2312"/>
          <w:b w:val="0"/>
          <w:bCs/>
          <w:sz w:val="32"/>
          <w:szCs w:val="32"/>
        </w:rPr>
        <w:t>顺序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整理好</w:t>
      </w:r>
      <w:r>
        <w:rPr>
          <w:rFonts w:hint="eastAsia" w:ascii="仿宋_GB2312" w:eastAsia="仿宋_GB2312"/>
          <w:b w:val="0"/>
          <w:bCs/>
          <w:sz w:val="32"/>
          <w:szCs w:val="32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）在职人员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本人有效居民身份证；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学历证、学位证；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教师资格证；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普通话证；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任教经历证明材料（附件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6.劳动合同，现就职单位社保缴费记录；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7.其他（如国外学历学位认证书、教练证或裁判证、获奖证书等资料）。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）毕业生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100" w:leftChars="0" w:right="100" w:rightChars="0" w:firstLine="64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本人有效居民身份证；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100" w:leftChars="0" w:right="100" w:rightChars="0" w:firstLine="64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学历证、学位证（2024届高校毕业生如暂不能提供，请出具《教育部学籍在线验证报告》或《大学课程成绩单》毕业院校教务部门盖章）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并提交诚信承诺书（附件3）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；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100" w:leftChars="0" w:right="100" w:rightChars="0" w:firstLine="64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教师资格证（2024届高校毕业生如暂不能提供，请出具中小学教师资格考试合格证明或2024届师范院校毕业生教师资格证免试认定材料）；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100" w:leftChars="0" w:right="100" w:rightChars="0" w:firstLine="64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普通话证；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100" w:leftChars="0" w:right="100" w:rightChars="0" w:firstLine="64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未落实工作单位承诺书（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4）；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40"/>
        <w:textAlignment w:val="auto"/>
        <w:rPr>
          <w:rFonts w:hint="eastAsia" w:ascii="仿宋_GB2312" w:hAnsi="Tahoma" w:eastAsia="仿宋_GB2312" w:cs="Tahom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其他（如国外学历学位认证书、报考岗位所需的其他材料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三、其他注意事项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7" w:firstLineChars="196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为确保资格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工作顺利进行，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提前准备好材料，文明排队，有序候场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确因特殊原因本人不能到现场参加资格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的，可委托其他人员代为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，被委托人需提供本人和委托人的有效居民身份证原件和复印件、委托人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手写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的书面委托函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firstLine="62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未按本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公告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要求按时</w:t>
      </w:r>
      <w:r>
        <w:rPr>
          <w:rFonts w:hint="eastAsia" w:ascii="仿宋_GB2312" w:hAnsi="Tahoma" w:eastAsia="仿宋_GB2312" w:cs="Tahoma"/>
          <w:sz w:val="32"/>
          <w:szCs w:val="32"/>
        </w:rPr>
        <w:t>参加资格审查或资格审查不合格的人员取消入围资格，在报考同一职位的人员中按笔试成绩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从高分到低分</w:t>
      </w:r>
      <w:r>
        <w:rPr>
          <w:rFonts w:hint="eastAsia" w:ascii="仿宋_GB2312" w:hAnsi="Tahoma" w:eastAsia="仿宋_GB2312" w:cs="Tahoma"/>
          <w:sz w:val="32"/>
          <w:szCs w:val="32"/>
        </w:rPr>
        <w:t>依次递补一次。资格审查合格人员方能进入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下一个</w:t>
      </w:r>
      <w:r>
        <w:rPr>
          <w:rFonts w:hint="eastAsia" w:ascii="仿宋_GB2312" w:hAnsi="Tahoma" w:eastAsia="仿宋_GB2312" w:cs="Tahoma"/>
          <w:sz w:val="32"/>
          <w:szCs w:val="32"/>
        </w:rPr>
        <w:t>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芙蓉区教育局</w:t>
      </w:r>
      <w:r>
        <w:rPr>
          <w:rFonts w:hint="eastAsia" w:ascii="仿宋_GB2312" w:eastAsia="仿宋_GB2312"/>
          <w:sz w:val="32"/>
          <w:szCs w:val="32"/>
          <w:lang w:eastAsia="zh-CN"/>
        </w:rPr>
        <w:t>组织人事科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 w:cs="宋体"/>
          <w:sz w:val="32"/>
        </w:rPr>
        <w:t>0731－8</w:t>
      </w:r>
      <w:r>
        <w:rPr>
          <w:rFonts w:hint="eastAsia" w:ascii="仿宋_GB2312" w:eastAsia="仿宋_GB2312"/>
          <w:sz w:val="32"/>
          <w:szCs w:val="32"/>
        </w:rPr>
        <w:t xml:space="preserve">4683254  </w:t>
      </w:r>
      <w:r>
        <w:rPr>
          <w:rFonts w:hint="eastAsia" w:ascii="仿宋_GB2312" w:eastAsia="仿宋_GB2312" w:cs="宋体"/>
          <w:sz w:val="32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4683244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 w:cs="宋体"/>
          <w:sz w:val="32"/>
        </w:rPr>
      </w:pPr>
      <w:r>
        <w:rPr>
          <w:rFonts w:hint="eastAsia" w:ascii="仿宋_GB2312" w:eastAsia="仿宋_GB2312" w:cs="宋体"/>
          <w:sz w:val="32"/>
        </w:rPr>
        <w:t>监督电话：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</w:rPr>
        <w:t>芙蓉区教育局</w:t>
      </w:r>
      <w:r>
        <w:rPr>
          <w:rFonts w:hint="eastAsia" w:ascii="仿宋_GB2312" w:eastAsia="仿宋_GB2312" w:cs="宋体"/>
          <w:sz w:val="32"/>
          <w:lang w:eastAsia="zh-CN"/>
        </w:rPr>
        <w:t>监督审计科</w:t>
      </w:r>
      <w:r>
        <w:rPr>
          <w:rFonts w:hint="eastAsia" w:ascii="仿宋_GB2312" w:eastAsia="仿宋_GB2312" w:cs="宋体"/>
          <w:sz w:val="32"/>
        </w:rPr>
        <w:t xml:space="preserve">    0731－84683253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长沙市芙蓉区2024年公开招聘中小学幼儿园教师资格复审入围名单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任教经历证明（在职人员类）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3. </w:t>
      </w:r>
      <w:r>
        <w:rPr>
          <w:rFonts w:hint="default" w:ascii="仿宋_GB2312" w:eastAsia="仿宋_GB2312"/>
          <w:sz w:val="32"/>
          <w:szCs w:val="32"/>
          <w:lang w:eastAsia="zh-CN"/>
        </w:rPr>
        <w:t>毕业生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诚信承诺书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未落实工作单位承诺书（毕业生类）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个人授权委托书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芙蓉区教育局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芙蓉区人力资源和社会保障局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128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06" w:bottom="1383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mM5NTcxYjQwNjA1ZjIzYmUxYWNhZDA5ZmZmOGYifQ=="/>
    <w:docVar w:name="KSO_WPS_MARK_KEY" w:val="4ac02a23-4567-43e5-aec0-8873f1105f08"/>
  </w:docVars>
  <w:rsids>
    <w:rsidRoot w:val="00DD6C82"/>
    <w:rsid w:val="0002262E"/>
    <w:rsid w:val="00043876"/>
    <w:rsid w:val="000A71FF"/>
    <w:rsid w:val="00122958"/>
    <w:rsid w:val="001D4F62"/>
    <w:rsid w:val="001F2BC8"/>
    <w:rsid w:val="002B6C6E"/>
    <w:rsid w:val="002D3BEB"/>
    <w:rsid w:val="00302403"/>
    <w:rsid w:val="00434CB3"/>
    <w:rsid w:val="00507412"/>
    <w:rsid w:val="005202A1"/>
    <w:rsid w:val="00553734"/>
    <w:rsid w:val="0056422A"/>
    <w:rsid w:val="00573623"/>
    <w:rsid w:val="005C0022"/>
    <w:rsid w:val="005F1578"/>
    <w:rsid w:val="00851B21"/>
    <w:rsid w:val="00853799"/>
    <w:rsid w:val="00884423"/>
    <w:rsid w:val="008B407B"/>
    <w:rsid w:val="008F78C2"/>
    <w:rsid w:val="00920AB8"/>
    <w:rsid w:val="00952DFD"/>
    <w:rsid w:val="009647E1"/>
    <w:rsid w:val="009F79E0"/>
    <w:rsid w:val="00A0199A"/>
    <w:rsid w:val="00A11418"/>
    <w:rsid w:val="00B328C1"/>
    <w:rsid w:val="00B7320F"/>
    <w:rsid w:val="00C142CD"/>
    <w:rsid w:val="00DD28B8"/>
    <w:rsid w:val="00DD6C82"/>
    <w:rsid w:val="00DD6E18"/>
    <w:rsid w:val="00E42BFC"/>
    <w:rsid w:val="00EB4C26"/>
    <w:rsid w:val="00EE4418"/>
    <w:rsid w:val="018E72FA"/>
    <w:rsid w:val="057673B7"/>
    <w:rsid w:val="08781817"/>
    <w:rsid w:val="08F24893"/>
    <w:rsid w:val="09171830"/>
    <w:rsid w:val="095D5293"/>
    <w:rsid w:val="09971727"/>
    <w:rsid w:val="0A1215F6"/>
    <w:rsid w:val="0A705EE4"/>
    <w:rsid w:val="0B98161B"/>
    <w:rsid w:val="0C041887"/>
    <w:rsid w:val="0D6E43B1"/>
    <w:rsid w:val="0E215E4F"/>
    <w:rsid w:val="108F4EF2"/>
    <w:rsid w:val="10E747E8"/>
    <w:rsid w:val="10FA1DD8"/>
    <w:rsid w:val="111772DE"/>
    <w:rsid w:val="11457B19"/>
    <w:rsid w:val="12F45604"/>
    <w:rsid w:val="13E31F29"/>
    <w:rsid w:val="140E2B29"/>
    <w:rsid w:val="146A4FDD"/>
    <w:rsid w:val="15DC33AF"/>
    <w:rsid w:val="171D67B0"/>
    <w:rsid w:val="19F551A3"/>
    <w:rsid w:val="1A98650B"/>
    <w:rsid w:val="1DD56215"/>
    <w:rsid w:val="1FDA1F09"/>
    <w:rsid w:val="22B91FD9"/>
    <w:rsid w:val="2B057BED"/>
    <w:rsid w:val="2B5C004D"/>
    <w:rsid w:val="2C5140BC"/>
    <w:rsid w:val="2C745032"/>
    <w:rsid w:val="2CB001E8"/>
    <w:rsid w:val="2E0666C3"/>
    <w:rsid w:val="2E6F34CD"/>
    <w:rsid w:val="2E7B0D2E"/>
    <w:rsid w:val="2F5A22CF"/>
    <w:rsid w:val="2FCD637E"/>
    <w:rsid w:val="30974FD3"/>
    <w:rsid w:val="30B2490D"/>
    <w:rsid w:val="30B67794"/>
    <w:rsid w:val="315978E0"/>
    <w:rsid w:val="33346C8B"/>
    <w:rsid w:val="333A231B"/>
    <w:rsid w:val="370B41DA"/>
    <w:rsid w:val="377D5E29"/>
    <w:rsid w:val="38FD6CF6"/>
    <w:rsid w:val="3969512D"/>
    <w:rsid w:val="3A976259"/>
    <w:rsid w:val="3AAD0017"/>
    <w:rsid w:val="3BBE4288"/>
    <w:rsid w:val="3E2B69CC"/>
    <w:rsid w:val="3EBB00CB"/>
    <w:rsid w:val="3EED316D"/>
    <w:rsid w:val="3FC67188"/>
    <w:rsid w:val="40E85247"/>
    <w:rsid w:val="42AC100E"/>
    <w:rsid w:val="43106CD7"/>
    <w:rsid w:val="44184095"/>
    <w:rsid w:val="4429037B"/>
    <w:rsid w:val="443A1667"/>
    <w:rsid w:val="45132AAF"/>
    <w:rsid w:val="45CA5C29"/>
    <w:rsid w:val="45F133C6"/>
    <w:rsid w:val="46ED57E3"/>
    <w:rsid w:val="49A6285E"/>
    <w:rsid w:val="4BE64A79"/>
    <w:rsid w:val="4FF21C3E"/>
    <w:rsid w:val="52C8653F"/>
    <w:rsid w:val="546D0B51"/>
    <w:rsid w:val="55C2002C"/>
    <w:rsid w:val="583F6877"/>
    <w:rsid w:val="59D216F1"/>
    <w:rsid w:val="5B6B1057"/>
    <w:rsid w:val="5CAC1AC2"/>
    <w:rsid w:val="60D506AB"/>
    <w:rsid w:val="625B3673"/>
    <w:rsid w:val="63CD2E52"/>
    <w:rsid w:val="64DA6F7A"/>
    <w:rsid w:val="65365155"/>
    <w:rsid w:val="66476815"/>
    <w:rsid w:val="671E1C4D"/>
    <w:rsid w:val="673710E2"/>
    <w:rsid w:val="680359AE"/>
    <w:rsid w:val="6A8A71D0"/>
    <w:rsid w:val="6B3B592A"/>
    <w:rsid w:val="6D240FE0"/>
    <w:rsid w:val="6EA97772"/>
    <w:rsid w:val="6F560BAF"/>
    <w:rsid w:val="6F7FF7F3"/>
    <w:rsid w:val="72976F13"/>
    <w:rsid w:val="73090DDD"/>
    <w:rsid w:val="75D378AF"/>
    <w:rsid w:val="76A65770"/>
    <w:rsid w:val="7B904D18"/>
    <w:rsid w:val="7DE74CB3"/>
    <w:rsid w:val="7EA96E95"/>
    <w:rsid w:val="7EED0E53"/>
    <w:rsid w:val="7F6C191D"/>
    <w:rsid w:val="83BF1D9F"/>
    <w:rsid w:val="DEBF2064"/>
    <w:rsid w:val="FA7F2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after="100"/>
      <w:ind w:left="100" w:right="1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芙蓉区教育局</Company>
  <Pages>3</Pages>
  <Words>932</Words>
  <Characters>1023</Characters>
  <Lines>100</Lines>
  <Paragraphs>28</Paragraphs>
  <TotalTime>0</TotalTime>
  <ScaleCrop>false</ScaleCrop>
  <LinksUpToDate>false</LinksUpToDate>
  <CharactersWithSpaces>1073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2017-04-25T22:58:00Z</dcterms:created>
  <dc:creator>微软用户</dc:creator>
  <cp:lastModifiedBy>邓阳</cp:lastModifiedBy>
  <cp:lastPrinted>2024-04-30T21:45:00Z</cp:lastPrinted>
  <dcterms:modified xsi:type="dcterms:W3CDTF">2024-05-01T02:09:07Z</dcterms:modified>
  <dc:title>2015年芙蓉区公开招聘中小学教师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3B94046FAF7B4DAFBF0416FB550E7E53_13</vt:lpwstr>
  </property>
</Properties>
</file>