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1: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黑体" w:hAnsi="黑体" w:eastAsia="黑体" w:cs="黑体"/>
          <w:color w:val="auto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auto"/>
          <w:kern w:val="0"/>
          <w:sz w:val="44"/>
          <w:szCs w:val="44"/>
        </w:rPr>
        <w:t>资格初审所需材料清单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黑体" w:hAnsi="黑体" w:eastAsia="黑体" w:cs="黑体"/>
          <w:color w:val="auto"/>
          <w:kern w:val="0"/>
          <w:sz w:val="44"/>
          <w:szCs w:val="44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身份证、准考证及《报名登记表》原件扫描件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毕业证及学位证原件扫描件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教师资格证原件扫描件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考生诚信承诺书（手写签字扫描件）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报考岗位所需其他证明</w:t>
      </w: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BC54B1"/>
    <w:multiLevelType w:val="singleLevel"/>
    <w:tmpl w:val="7FBC54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425E3"/>
    <w:rsid w:val="5174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2022-08-17T09:30:00Z</dcterms:created>
  <dc:creator>知行合一</dc:creator>
  <cp:lastModifiedBy>知行合一</cp:lastModifiedBy>
  <dcterms:modified xsi:type="dcterms:W3CDTF">2022-08-17T09:34:39Z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23550878C3964DB1B9E9C9831D255B55</vt:lpwstr>
  </property>
</Properties>
</file>