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/>
          <w:bCs/>
          <w:color w:val="333333"/>
          <w:spacing w:val="20"/>
          <w:sz w:val="44"/>
          <w:szCs w:val="44"/>
          <w:shd w:val="clear" w:fill="FFFFFF"/>
        </w:rPr>
        <w:t>体检纪律要求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1．按要求填写体检表中由本人填写的部分。体检中不得以任何手段、方式作假作弊。如弄虚作假或隐瞒事实情况，致使体检结果失真的，作体检不合格或者取消聘用资格处理。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2．服从体检工作人员的指挥，体检过程中应按组统一行动，不得掉队，不得混入其他组参检，不得中途退场。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3．不得扰乱体检秩序，不得喧哗、大吵大闹，体检过程中如发生争议，应通过正当途径解决。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4．体检工作进行期间不得携带、使用手机等通讯工具。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5．体检对象对当场能做出结论的体检项目有质疑的，应在本项目检查过程中提出异议，并当即由医生进行检查且确定结果。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6．应自觉接受规定项目和专项检查。体检对象在体检中拒绝接受规定项目或专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项检查的，按放弃体检资格论处。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7．家长、亲友无关人员不得随从前往体检医院。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223CC"/>
    <w:rsid w:val="615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2021-08-27T01:22:26Z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2088A1BBED384C43BCE11838B90BAE05</vt:lpwstr>
  </property>
</Properties>
</file>