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auto"/>
          <w:sz w:val="18"/>
          <w:szCs w:val="18"/>
        </w:rPr>
      </w:pPr>
      <w:r>
        <w:rPr>
          <w:rFonts w:hint="eastAsia" w:ascii="仿宋" w:hAnsi="仿宋" w:eastAsia="仿宋" w:cs="仿宋"/>
          <w:b/>
          <w:bCs/>
          <w:color w:val="auto"/>
          <w:sz w:val="36"/>
          <w:szCs w:val="36"/>
        </w:rPr>
        <w:t>2021年长沙市教育局直属</w:t>
      </w:r>
      <w:r>
        <w:rPr>
          <w:rFonts w:hint="eastAsia" w:ascii="仿宋" w:hAnsi="仿宋" w:eastAsia="仿宋" w:cs="仿宋"/>
          <w:b/>
          <w:bCs/>
          <w:color w:val="auto"/>
          <w:sz w:val="36"/>
          <w:szCs w:val="36"/>
          <w:lang w:eastAsia="zh-CN"/>
        </w:rPr>
        <w:t>学校</w:t>
      </w:r>
      <w:r>
        <w:rPr>
          <w:rFonts w:hint="eastAsia" w:ascii="仿宋" w:hAnsi="仿宋" w:eastAsia="仿宋" w:cs="仿宋"/>
          <w:b/>
          <w:bCs/>
          <w:color w:val="auto"/>
          <w:sz w:val="36"/>
          <w:szCs w:val="36"/>
        </w:rPr>
        <w:t>公开招聘教师</w:t>
      </w:r>
    </w:p>
    <w:p>
      <w:pPr>
        <w:jc w:val="center"/>
        <w:rPr>
          <w:rFonts w:ascii="仿宋" w:hAnsi="仿宋" w:eastAsia="仿宋" w:cs="仿宋"/>
          <w:b/>
          <w:bCs/>
          <w:color w:val="auto"/>
          <w:sz w:val="18"/>
          <w:szCs w:val="18"/>
        </w:rPr>
      </w:pPr>
    </w:p>
    <w:p>
      <w:pPr>
        <w:jc w:val="center"/>
        <w:rPr>
          <w:rFonts w:ascii="仿宋" w:hAnsi="仿宋" w:eastAsia="仿宋" w:cs="仿宋"/>
          <w:b/>
          <w:bCs/>
          <w:color w:val="auto"/>
          <w:sz w:val="18"/>
          <w:szCs w:val="18"/>
        </w:rPr>
      </w:pPr>
      <w:r>
        <w:rPr>
          <w:rFonts w:hint="eastAsia" w:ascii="仿宋" w:hAnsi="仿宋" w:eastAsia="仿宋" w:cs="仿宋"/>
          <w:b/>
          <w:bCs/>
          <w:color w:val="auto"/>
          <w:sz w:val="44"/>
          <w:szCs w:val="44"/>
        </w:rPr>
        <w:t>长沙财经学校初试办法</w:t>
      </w:r>
    </w:p>
    <w:p>
      <w:pPr>
        <w:jc w:val="center"/>
        <w:rPr>
          <w:rFonts w:ascii="仿宋" w:hAnsi="仿宋" w:eastAsia="仿宋" w:cs="仿宋"/>
          <w:b/>
          <w:bCs/>
          <w:color w:val="auto"/>
          <w:sz w:val="18"/>
          <w:szCs w:val="18"/>
        </w:rPr>
      </w:pPr>
    </w:p>
    <w:p>
      <w:pPr>
        <w:adjustRightInd w:val="0"/>
        <w:snapToGrid w:val="0"/>
        <w:spacing w:line="360" w:lineRule="auto"/>
        <w:ind w:firstLine="310" w:firstLineChars="147"/>
        <w:rPr>
          <w:rFonts w:ascii="仿宋" w:hAnsi="仿宋" w:eastAsia="仿宋" w:cs="仿宋"/>
          <w:b/>
          <w:bCs/>
          <w:color w:val="auto"/>
        </w:rPr>
      </w:pPr>
      <w:r>
        <w:rPr>
          <w:rFonts w:hint="eastAsia" w:ascii="仿宋" w:hAnsi="仿宋" w:eastAsia="仿宋" w:cs="仿宋"/>
          <w:b/>
          <w:bCs/>
          <w:color w:val="auto"/>
        </w:rPr>
        <w:t>一、具体做法</w:t>
      </w:r>
    </w:p>
    <w:p>
      <w:pPr>
        <w:adjustRightInd w:val="0"/>
        <w:snapToGrid w:val="0"/>
        <w:spacing w:line="360" w:lineRule="auto"/>
        <w:ind w:firstLine="420"/>
        <w:rPr>
          <w:rFonts w:hint="eastAsia" w:ascii="仿宋" w:hAnsi="仿宋" w:eastAsia="仿宋" w:cs="仿宋"/>
          <w:color w:val="auto"/>
        </w:rPr>
      </w:pPr>
      <w:r>
        <w:rPr>
          <w:rFonts w:hint="eastAsia" w:ascii="仿宋" w:hAnsi="仿宋" w:eastAsia="仿宋" w:cs="仿宋"/>
          <w:color w:val="auto"/>
        </w:rPr>
        <w:t>1.中学语文、中学历史、思想政治、心理健康教育、商务英语职位的初试由面试、试教组成，会计（教师）、体育、音乐、旅游管理、中式面点、美发与形象设计职位的初试由面试、试教、技能测试组成，各职位测试项目的时长见下表。面试、试教、技能测试满分均为100分。考生得分均为所有评委评分中去掉一个最低分和一个最高分后的平均得分（四舍五入后保留两位小数</w:t>
      </w:r>
      <w:r>
        <w:rPr>
          <w:rFonts w:hint="eastAsia" w:ascii="仿宋" w:hAnsi="仿宋" w:eastAsia="仿宋" w:cs="仿宋"/>
          <w:color w:val="auto"/>
          <w:lang w:eastAsia="zh-CN"/>
        </w:rPr>
        <w:t>，下同</w:t>
      </w:r>
      <w:r>
        <w:rPr>
          <w:rFonts w:hint="eastAsia" w:ascii="仿宋" w:hAnsi="仿宋" w:eastAsia="仿宋" w:cs="仿宋"/>
          <w:color w:val="auto"/>
        </w:rPr>
        <w:t>），每位考生的《成绩通知书》在其后两位考生</w:t>
      </w:r>
      <w:r>
        <w:rPr>
          <w:rFonts w:hint="eastAsia" w:ascii="仿宋" w:hAnsi="仿宋" w:eastAsia="仿宋" w:cs="仿宋"/>
          <w:color w:val="auto"/>
          <w:lang w:eastAsia="zh-CN"/>
        </w:rPr>
        <w:t>初试</w:t>
      </w:r>
      <w:r>
        <w:rPr>
          <w:rFonts w:hint="eastAsia" w:ascii="仿宋" w:hAnsi="仿宋" w:eastAsia="仿宋" w:cs="仿宋"/>
          <w:color w:val="auto"/>
        </w:rPr>
        <w:t>结束后依次领取（技能测试同时进行的，测试成绩集中公布）。初试由面试、试教组成的，按面试、试教得分2∶8的比例合成为初试成绩；初试由面试、试教、技能测试组成的，按面试、试教、技能测试得分2∶3∶5的比例合成为初试成绩。初试成绩于当天在学校网站公布</w:t>
      </w:r>
      <w:r>
        <w:rPr>
          <w:rFonts w:hint="eastAsia" w:ascii="仿宋" w:hAnsi="仿宋" w:eastAsia="仿宋" w:cs="仿宋"/>
          <w:color w:val="auto"/>
          <w:lang w:eastAsia="zh-CN"/>
        </w:rPr>
        <w:t>，如学校网站出现故障，请查询长沙市教育局官网（下同）</w:t>
      </w:r>
      <w:r>
        <w:rPr>
          <w:rFonts w:hint="eastAsia" w:ascii="仿宋" w:hAnsi="仿宋" w:eastAsia="仿宋" w:cs="仿宋"/>
          <w:color w:val="auto"/>
        </w:rPr>
        <w:t>。</w:t>
      </w:r>
    </w:p>
    <w:tbl>
      <w:tblPr>
        <w:tblStyle w:val="7"/>
        <w:tblW w:w="9298" w:type="dxa"/>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5"/>
        <w:gridCol w:w="2140"/>
        <w:gridCol w:w="704"/>
        <w:gridCol w:w="1550"/>
        <w:gridCol w:w="1760"/>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tcBorders>
              <w:right w:val="single" w:color="auto" w:sz="4" w:space="0"/>
            </w:tcBorders>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初试日期</w:t>
            </w:r>
          </w:p>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及集合时间</w:t>
            </w:r>
          </w:p>
        </w:tc>
        <w:tc>
          <w:tcPr>
            <w:tcW w:w="2140" w:type="dxa"/>
            <w:tcBorders>
              <w:right w:val="single" w:color="auto" w:sz="4" w:space="0"/>
            </w:tcBorders>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职位名称</w:t>
            </w:r>
          </w:p>
        </w:tc>
        <w:tc>
          <w:tcPr>
            <w:tcW w:w="704" w:type="dxa"/>
            <w:tcBorders>
              <w:left w:val="single" w:color="auto" w:sz="4" w:space="0"/>
            </w:tcBorders>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职位</w:t>
            </w:r>
          </w:p>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代码</w:t>
            </w:r>
          </w:p>
        </w:tc>
        <w:tc>
          <w:tcPr>
            <w:tcW w:w="1550" w:type="dxa"/>
            <w:vAlign w:val="center"/>
          </w:tcPr>
          <w:p>
            <w:pPr>
              <w:spacing w:line="340" w:lineRule="exact"/>
              <w:jc w:val="center"/>
              <w:rPr>
                <w:rFonts w:ascii="仿宋" w:hAnsi="仿宋" w:eastAsia="仿宋" w:cs="仿宋"/>
                <w:b/>
                <w:color w:val="auto"/>
                <w:kern w:val="0"/>
                <w:szCs w:val="21"/>
              </w:rPr>
            </w:pPr>
            <w:r>
              <w:rPr>
                <w:rFonts w:hint="eastAsia" w:ascii="仿宋" w:hAnsi="仿宋" w:eastAsia="仿宋" w:cs="仿宋"/>
                <w:b/>
                <w:color w:val="auto"/>
                <w:szCs w:val="21"/>
              </w:rPr>
              <w:t>时长</w:t>
            </w:r>
          </w:p>
        </w:tc>
        <w:tc>
          <w:tcPr>
            <w:tcW w:w="1760" w:type="dxa"/>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kern w:val="0"/>
                <w:szCs w:val="21"/>
              </w:rPr>
              <w:t>技能测试时长</w:t>
            </w:r>
          </w:p>
        </w:tc>
        <w:tc>
          <w:tcPr>
            <w:tcW w:w="1419" w:type="dxa"/>
            <w:vAlign w:val="center"/>
          </w:tcPr>
          <w:p>
            <w:pPr>
              <w:spacing w:line="340" w:lineRule="exact"/>
              <w:jc w:val="center"/>
              <w:rPr>
                <w:rFonts w:ascii="仿宋" w:hAnsi="仿宋" w:eastAsia="仿宋" w:cs="仿宋"/>
                <w:b/>
                <w:color w:val="auto"/>
                <w:szCs w:val="21"/>
              </w:rPr>
            </w:pPr>
            <w:r>
              <w:rPr>
                <w:rFonts w:hint="eastAsia" w:ascii="仿宋" w:hAnsi="仿宋" w:eastAsia="仿宋" w:cs="仿宋"/>
                <w:b/>
                <w:color w:val="auto"/>
                <w:szCs w:val="21"/>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restart"/>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2020年4月24日（周六）8:00</w:t>
            </w:r>
          </w:p>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中学语文</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4001</w:t>
            </w:r>
          </w:p>
        </w:tc>
        <w:tc>
          <w:tcPr>
            <w:tcW w:w="1550" w:type="dxa"/>
            <w:vMerge w:val="restart"/>
            <w:vAlign w:val="center"/>
          </w:tcPr>
          <w:p>
            <w:pPr>
              <w:widowControl/>
              <w:adjustRightInd w:val="0"/>
              <w:snapToGrid w:val="0"/>
              <w:spacing w:line="300" w:lineRule="exact"/>
              <w:jc w:val="center"/>
              <w:rPr>
                <w:rFonts w:ascii="仿宋" w:hAnsi="仿宋" w:eastAsia="仿宋" w:cs="仿宋"/>
                <w:bCs/>
                <w:color w:val="auto"/>
                <w:szCs w:val="21"/>
              </w:rPr>
            </w:pPr>
            <w:r>
              <w:rPr>
                <w:rFonts w:hint="eastAsia" w:ascii="仿宋" w:hAnsi="仿宋" w:eastAsia="仿宋" w:cs="仿宋"/>
                <w:bCs/>
                <w:color w:val="auto"/>
                <w:szCs w:val="21"/>
              </w:rPr>
              <w:t>面试、试教时长共10分钟，准备时长共40分钟</w:t>
            </w:r>
          </w:p>
        </w:tc>
        <w:tc>
          <w:tcPr>
            <w:tcW w:w="1760" w:type="dxa"/>
            <w:shd w:val="clear" w:color="auto" w:fill="AEAAAA" w:themeFill="background2" w:themeFillShade="BF"/>
            <w:vAlign w:val="center"/>
          </w:tcPr>
          <w:p>
            <w:pPr>
              <w:widowControl/>
              <w:adjustRightInd w:val="0"/>
              <w:snapToGrid w:val="0"/>
              <w:spacing w:line="300" w:lineRule="exact"/>
              <w:jc w:val="center"/>
              <w:rPr>
                <w:rFonts w:ascii="仿宋" w:hAnsi="仿宋" w:eastAsia="仿宋" w:cs="仿宋"/>
                <w:bCs/>
                <w:color w:val="auto"/>
                <w:szCs w:val="21"/>
                <w:shd w:val="clear" w:color="FFFFFF" w:fill="D9D9D9"/>
              </w:rPr>
            </w:pPr>
          </w:p>
        </w:tc>
        <w:tc>
          <w:tcPr>
            <w:tcW w:w="1419" w:type="dxa"/>
            <w:vMerge w:val="restart"/>
            <w:vAlign w:val="center"/>
          </w:tcPr>
          <w:p>
            <w:pPr>
              <w:widowControl/>
              <w:adjustRightInd w:val="0"/>
              <w:snapToGrid w:val="0"/>
              <w:spacing w:line="300" w:lineRule="exact"/>
              <w:jc w:val="center"/>
              <w:rPr>
                <w:rFonts w:ascii="仿宋" w:hAnsi="仿宋" w:eastAsia="仿宋" w:cs="仿宋"/>
                <w:bCs/>
                <w:color w:val="auto"/>
                <w:szCs w:val="21"/>
              </w:rPr>
            </w:pPr>
            <w:r>
              <w:rPr>
                <w:rFonts w:hint="eastAsia" w:ascii="仿宋" w:hAnsi="仿宋" w:eastAsia="仿宋" w:cs="仿宋"/>
                <w:bCs/>
                <w:color w:val="auto"/>
                <w:szCs w:val="21"/>
              </w:rPr>
              <w:t>长沙财经学校职教城校区慎勤楼一楼报告厅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中学历史</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4002</w:t>
            </w:r>
          </w:p>
        </w:tc>
        <w:tc>
          <w:tcPr>
            <w:tcW w:w="1550"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shd w:val="clear" w:color="auto" w:fill="AEAAAA" w:themeFill="background2" w:themeFillShade="BF"/>
            <w:vAlign w:val="center"/>
          </w:tcPr>
          <w:p>
            <w:pPr>
              <w:widowControl/>
              <w:adjustRightInd w:val="0"/>
              <w:snapToGrid w:val="0"/>
              <w:spacing w:line="300" w:lineRule="exact"/>
              <w:jc w:val="center"/>
              <w:rPr>
                <w:rFonts w:ascii="仿宋" w:hAnsi="仿宋" w:eastAsia="仿宋" w:cs="仿宋"/>
                <w:bCs/>
                <w:color w:val="auto"/>
                <w:szCs w:val="21"/>
                <w:shd w:val="clear" w:color="FFFFFF" w:fill="D9D9D9"/>
              </w:rPr>
            </w:pPr>
          </w:p>
        </w:tc>
        <w:tc>
          <w:tcPr>
            <w:tcW w:w="1419"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思想政治</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4006</w:t>
            </w:r>
          </w:p>
        </w:tc>
        <w:tc>
          <w:tcPr>
            <w:tcW w:w="1550"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shd w:val="clear" w:color="auto" w:fill="AEAAAA" w:themeFill="background2" w:themeFillShade="BF"/>
            <w:vAlign w:val="center"/>
          </w:tcPr>
          <w:p>
            <w:pPr>
              <w:widowControl/>
              <w:adjustRightInd w:val="0"/>
              <w:snapToGrid w:val="0"/>
              <w:spacing w:line="300" w:lineRule="exact"/>
              <w:jc w:val="center"/>
              <w:rPr>
                <w:rFonts w:ascii="仿宋" w:hAnsi="仿宋" w:eastAsia="仿宋" w:cs="仿宋"/>
                <w:bCs/>
                <w:color w:val="auto"/>
                <w:szCs w:val="21"/>
                <w:shd w:val="clear" w:color="FFFFFF" w:fill="D9D9D9"/>
              </w:rPr>
            </w:pPr>
          </w:p>
        </w:tc>
        <w:tc>
          <w:tcPr>
            <w:tcW w:w="1419"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心理健康教育</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4007</w:t>
            </w:r>
          </w:p>
        </w:tc>
        <w:tc>
          <w:tcPr>
            <w:tcW w:w="1550"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shd w:val="clear" w:color="auto" w:fill="AEAAAA" w:themeFill="background2" w:themeFillShade="BF"/>
            <w:vAlign w:val="center"/>
          </w:tcPr>
          <w:p>
            <w:pPr>
              <w:widowControl/>
              <w:adjustRightInd w:val="0"/>
              <w:snapToGrid w:val="0"/>
              <w:spacing w:line="300" w:lineRule="exact"/>
              <w:jc w:val="center"/>
              <w:rPr>
                <w:rFonts w:ascii="仿宋" w:hAnsi="仿宋" w:eastAsia="仿宋" w:cs="仿宋"/>
                <w:bCs/>
                <w:color w:val="auto"/>
                <w:szCs w:val="21"/>
                <w:shd w:val="clear" w:color="FFFFFF" w:fill="D9D9D9"/>
              </w:rPr>
            </w:pPr>
          </w:p>
        </w:tc>
        <w:tc>
          <w:tcPr>
            <w:tcW w:w="1419"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商务英语</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4008</w:t>
            </w:r>
          </w:p>
        </w:tc>
        <w:tc>
          <w:tcPr>
            <w:tcW w:w="1550"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tcBorders>
              <w:bottom w:val="single" w:color="auto" w:sz="4" w:space="0"/>
            </w:tcBorders>
            <w:shd w:val="clear" w:color="auto" w:fill="AEAAAA" w:themeFill="background2" w:themeFillShade="BF"/>
            <w:vAlign w:val="center"/>
          </w:tcPr>
          <w:p>
            <w:pPr>
              <w:widowControl/>
              <w:adjustRightInd w:val="0"/>
              <w:snapToGrid w:val="0"/>
              <w:spacing w:line="300" w:lineRule="exact"/>
              <w:jc w:val="center"/>
              <w:rPr>
                <w:rFonts w:ascii="仿宋" w:hAnsi="仿宋" w:eastAsia="仿宋" w:cs="仿宋"/>
                <w:bCs/>
                <w:color w:val="auto"/>
                <w:szCs w:val="21"/>
                <w:shd w:val="clear" w:color="FFFFFF" w:fill="D9D9D9"/>
              </w:rPr>
            </w:pPr>
          </w:p>
        </w:tc>
        <w:tc>
          <w:tcPr>
            <w:tcW w:w="1419"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会计（教师）</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4003</w:t>
            </w:r>
          </w:p>
        </w:tc>
        <w:tc>
          <w:tcPr>
            <w:tcW w:w="1550"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tcBorders>
              <w:top w:val="single" w:color="auto" w:sz="4" w:space="0"/>
              <w:bottom w:val="single" w:color="auto" w:sz="4" w:space="0"/>
            </w:tcBorders>
            <w:vAlign w:val="center"/>
          </w:tcPr>
          <w:p>
            <w:pPr>
              <w:widowControl/>
              <w:adjustRightInd w:val="0"/>
              <w:snapToGrid w:val="0"/>
              <w:spacing w:line="300" w:lineRule="exact"/>
              <w:jc w:val="center"/>
              <w:rPr>
                <w:rFonts w:ascii="仿宋" w:hAnsi="仿宋" w:eastAsia="仿宋" w:cs="仿宋"/>
                <w:bCs/>
                <w:color w:val="auto"/>
                <w:szCs w:val="21"/>
              </w:rPr>
            </w:pPr>
            <w:r>
              <w:rPr>
                <w:rFonts w:hint="eastAsia" w:ascii="仿宋" w:hAnsi="仿宋" w:eastAsia="仿宋" w:cs="仿宋"/>
                <w:bCs/>
                <w:color w:val="auto"/>
                <w:szCs w:val="21"/>
              </w:rPr>
              <w:t>60分钟</w:t>
            </w:r>
          </w:p>
        </w:tc>
        <w:tc>
          <w:tcPr>
            <w:tcW w:w="1419"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体育</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4004</w:t>
            </w:r>
          </w:p>
        </w:tc>
        <w:tc>
          <w:tcPr>
            <w:tcW w:w="1550"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tcBorders>
              <w:top w:val="single" w:color="auto" w:sz="4" w:space="0"/>
              <w:bottom w:val="single" w:color="auto" w:sz="4" w:space="0"/>
            </w:tcBorders>
            <w:vAlign w:val="center"/>
          </w:tcPr>
          <w:p>
            <w:pPr>
              <w:widowControl/>
              <w:adjustRightInd w:val="0"/>
              <w:snapToGrid w:val="0"/>
              <w:spacing w:line="300" w:lineRule="exact"/>
              <w:jc w:val="center"/>
              <w:rPr>
                <w:rFonts w:ascii="仿宋" w:hAnsi="仿宋" w:eastAsia="仿宋" w:cs="仿宋"/>
                <w:bCs/>
                <w:color w:val="auto"/>
                <w:szCs w:val="21"/>
              </w:rPr>
            </w:pPr>
            <w:r>
              <w:rPr>
                <w:rFonts w:ascii="仿宋" w:hAnsi="仿宋" w:eastAsia="仿宋" w:cs="仿宋"/>
                <w:bCs/>
                <w:color w:val="auto"/>
                <w:szCs w:val="21"/>
              </w:rPr>
              <w:t>（排球）2</w:t>
            </w:r>
            <w:r>
              <w:rPr>
                <w:rFonts w:hint="eastAsia" w:ascii="仿宋" w:hAnsi="仿宋" w:eastAsia="仿宋" w:cs="仿宋"/>
                <w:bCs/>
                <w:color w:val="auto"/>
                <w:szCs w:val="21"/>
              </w:rPr>
              <w:t>5分钟</w:t>
            </w:r>
          </w:p>
        </w:tc>
        <w:tc>
          <w:tcPr>
            <w:tcW w:w="1419"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音乐</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4005</w:t>
            </w:r>
          </w:p>
        </w:tc>
        <w:tc>
          <w:tcPr>
            <w:tcW w:w="1550"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tcBorders>
              <w:top w:val="single" w:color="auto" w:sz="4" w:space="0"/>
              <w:bottom w:val="single" w:color="auto" w:sz="4" w:space="0"/>
            </w:tcBorders>
            <w:vAlign w:val="center"/>
          </w:tcPr>
          <w:p>
            <w:pPr>
              <w:widowControl/>
              <w:adjustRightInd w:val="0"/>
              <w:snapToGrid w:val="0"/>
              <w:spacing w:line="300" w:lineRule="exact"/>
              <w:jc w:val="center"/>
              <w:rPr>
                <w:rFonts w:ascii="仿宋" w:hAnsi="仿宋" w:eastAsia="仿宋" w:cs="仿宋"/>
                <w:bCs/>
                <w:color w:val="auto"/>
                <w:szCs w:val="21"/>
              </w:rPr>
            </w:pPr>
            <w:r>
              <w:rPr>
                <w:rFonts w:ascii="仿宋" w:hAnsi="仿宋" w:eastAsia="仿宋" w:cs="仿宋"/>
                <w:bCs/>
                <w:color w:val="auto"/>
                <w:szCs w:val="21"/>
              </w:rPr>
              <w:t>（声乐）8分钟</w:t>
            </w:r>
          </w:p>
        </w:tc>
        <w:tc>
          <w:tcPr>
            <w:tcW w:w="1419"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旅游管理</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4009</w:t>
            </w:r>
          </w:p>
        </w:tc>
        <w:tc>
          <w:tcPr>
            <w:tcW w:w="1550"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tcBorders>
              <w:top w:val="single" w:color="auto" w:sz="4" w:space="0"/>
              <w:bottom w:val="single" w:color="auto" w:sz="4" w:space="0"/>
            </w:tcBorders>
            <w:vAlign w:val="center"/>
          </w:tcPr>
          <w:p>
            <w:pPr>
              <w:widowControl/>
              <w:adjustRightInd w:val="0"/>
              <w:snapToGrid w:val="0"/>
              <w:spacing w:line="300" w:lineRule="exact"/>
              <w:jc w:val="center"/>
              <w:rPr>
                <w:rFonts w:ascii="仿宋" w:hAnsi="仿宋" w:eastAsia="仿宋" w:cs="仿宋"/>
                <w:bCs/>
                <w:color w:val="auto"/>
                <w:szCs w:val="21"/>
              </w:rPr>
            </w:pPr>
            <w:r>
              <w:rPr>
                <w:rFonts w:ascii="仿宋" w:hAnsi="仿宋" w:eastAsia="仿宋" w:cs="仿宋"/>
                <w:bCs/>
                <w:color w:val="auto"/>
                <w:szCs w:val="21"/>
              </w:rPr>
              <w:t>1</w:t>
            </w:r>
            <w:r>
              <w:rPr>
                <w:rFonts w:hint="eastAsia" w:ascii="仿宋" w:hAnsi="仿宋" w:eastAsia="仿宋" w:cs="仿宋"/>
                <w:bCs/>
                <w:color w:val="auto"/>
                <w:szCs w:val="21"/>
              </w:rPr>
              <w:t>0分钟</w:t>
            </w:r>
          </w:p>
        </w:tc>
        <w:tc>
          <w:tcPr>
            <w:tcW w:w="1419"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中式面点</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4010</w:t>
            </w:r>
          </w:p>
        </w:tc>
        <w:tc>
          <w:tcPr>
            <w:tcW w:w="1550"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tcBorders>
              <w:top w:val="single" w:color="auto" w:sz="4" w:space="0"/>
              <w:bottom w:val="single" w:color="auto" w:sz="4" w:space="0"/>
            </w:tcBorders>
            <w:vAlign w:val="center"/>
          </w:tcPr>
          <w:p>
            <w:pPr>
              <w:widowControl/>
              <w:adjustRightInd w:val="0"/>
              <w:snapToGrid w:val="0"/>
              <w:spacing w:line="300" w:lineRule="exact"/>
              <w:jc w:val="center"/>
              <w:rPr>
                <w:rFonts w:ascii="仿宋" w:hAnsi="仿宋" w:eastAsia="仿宋" w:cs="仿宋"/>
                <w:bCs/>
                <w:color w:val="auto"/>
                <w:szCs w:val="21"/>
              </w:rPr>
            </w:pPr>
            <w:r>
              <w:rPr>
                <w:rFonts w:hint="eastAsia" w:ascii="仿宋" w:hAnsi="仿宋" w:eastAsia="仿宋" w:cs="仿宋"/>
                <w:bCs/>
                <w:color w:val="auto"/>
                <w:szCs w:val="21"/>
              </w:rPr>
              <w:t>60分钟</w:t>
            </w:r>
          </w:p>
        </w:tc>
        <w:tc>
          <w:tcPr>
            <w:tcW w:w="1419" w:type="dxa"/>
            <w:vMerge w:val="continue"/>
            <w:vAlign w:val="center"/>
          </w:tcPr>
          <w:p>
            <w:pPr>
              <w:widowControl/>
              <w:adjustRightInd w:val="0"/>
              <w:snapToGrid w:val="0"/>
              <w:spacing w:line="300" w:lineRule="exact"/>
              <w:jc w:val="center"/>
              <w:rPr>
                <w:rFonts w:ascii="仿宋" w:hAnsi="仿宋" w:eastAsia="仿宋" w:cs="仿宋"/>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25" w:type="dxa"/>
            <w:vMerge w:val="continue"/>
            <w:tcBorders>
              <w:right w:val="single" w:color="auto" w:sz="4" w:space="0"/>
            </w:tcBorders>
            <w:vAlign w:val="center"/>
          </w:tcPr>
          <w:p>
            <w:pPr>
              <w:spacing w:line="340" w:lineRule="exact"/>
              <w:jc w:val="center"/>
              <w:rPr>
                <w:rFonts w:ascii="仿宋" w:hAnsi="仿宋" w:eastAsia="仿宋" w:cs="仿宋"/>
                <w:bCs/>
                <w:color w:val="auto"/>
                <w:szCs w:val="21"/>
              </w:rPr>
            </w:pPr>
          </w:p>
        </w:tc>
        <w:tc>
          <w:tcPr>
            <w:tcW w:w="2140" w:type="dxa"/>
            <w:tcBorders>
              <w:righ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美发与形象设计</w:t>
            </w:r>
          </w:p>
        </w:tc>
        <w:tc>
          <w:tcPr>
            <w:tcW w:w="704" w:type="dxa"/>
            <w:tcBorders>
              <w:left w:val="single" w:color="auto" w:sz="4" w:space="0"/>
            </w:tcBorders>
            <w:vAlign w:val="center"/>
          </w:tcPr>
          <w:p>
            <w:pPr>
              <w:spacing w:line="340" w:lineRule="exact"/>
              <w:jc w:val="center"/>
              <w:rPr>
                <w:rFonts w:ascii="仿宋" w:hAnsi="仿宋" w:eastAsia="仿宋" w:cs="仿宋"/>
                <w:bCs/>
                <w:color w:val="auto"/>
                <w:szCs w:val="21"/>
              </w:rPr>
            </w:pPr>
            <w:r>
              <w:rPr>
                <w:rFonts w:hint="eastAsia" w:ascii="仿宋" w:hAnsi="仿宋" w:eastAsia="仿宋" w:cs="仿宋"/>
                <w:bCs/>
                <w:color w:val="auto"/>
                <w:szCs w:val="21"/>
              </w:rPr>
              <w:t>4011</w:t>
            </w:r>
          </w:p>
        </w:tc>
        <w:tc>
          <w:tcPr>
            <w:tcW w:w="1550" w:type="dxa"/>
            <w:vMerge w:val="continue"/>
            <w:tcBorders>
              <w:bottom w:val="single" w:color="auto" w:sz="4" w:space="0"/>
            </w:tcBorders>
            <w:vAlign w:val="center"/>
          </w:tcPr>
          <w:p>
            <w:pPr>
              <w:widowControl/>
              <w:adjustRightInd w:val="0"/>
              <w:snapToGrid w:val="0"/>
              <w:spacing w:line="300" w:lineRule="exact"/>
              <w:jc w:val="center"/>
              <w:rPr>
                <w:rFonts w:ascii="仿宋" w:hAnsi="仿宋" w:eastAsia="仿宋" w:cs="仿宋"/>
                <w:bCs/>
                <w:color w:val="auto"/>
                <w:szCs w:val="21"/>
              </w:rPr>
            </w:pPr>
          </w:p>
        </w:tc>
        <w:tc>
          <w:tcPr>
            <w:tcW w:w="1760" w:type="dxa"/>
            <w:tcBorders>
              <w:top w:val="single" w:color="auto" w:sz="4" w:space="0"/>
              <w:bottom w:val="single" w:color="auto" w:sz="4" w:space="0"/>
            </w:tcBorders>
            <w:vAlign w:val="center"/>
          </w:tcPr>
          <w:p>
            <w:pPr>
              <w:widowControl/>
              <w:adjustRightInd w:val="0"/>
              <w:snapToGrid w:val="0"/>
              <w:spacing w:line="300" w:lineRule="exact"/>
              <w:jc w:val="center"/>
              <w:rPr>
                <w:rFonts w:ascii="仿宋" w:hAnsi="仿宋" w:eastAsia="仿宋" w:cs="仿宋"/>
                <w:bCs/>
                <w:color w:val="auto"/>
                <w:szCs w:val="21"/>
              </w:rPr>
            </w:pPr>
            <w:r>
              <w:rPr>
                <w:rFonts w:ascii="仿宋" w:hAnsi="仿宋" w:eastAsia="仿宋" w:cs="仿宋"/>
                <w:bCs/>
                <w:color w:val="auto"/>
                <w:szCs w:val="21"/>
              </w:rPr>
              <w:t>6</w:t>
            </w:r>
            <w:r>
              <w:rPr>
                <w:rFonts w:hint="eastAsia" w:ascii="仿宋" w:hAnsi="仿宋" w:eastAsia="仿宋" w:cs="仿宋"/>
                <w:bCs/>
                <w:color w:val="auto"/>
                <w:szCs w:val="21"/>
              </w:rPr>
              <w:t>0分钟</w:t>
            </w:r>
          </w:p>
        </w:tc>
        <w:tc>
          <w:tcPr>
            <w:tcW w:w="1419" w:type="dxa"/>
            <w:vMerge w:val="continue"/>
            <w:tcBorders>
              <w:bottom w:val="single" w:color="auto" w:sz="4" w:space="0"/>
            </w:tcBorders>
            <w:vAlign w:val="center"/>
          </w:tcPr>
          <w:p>
            <w:pPr>
              <w:widowControl/>
              <w:adjustRightInd w:val="0"/>
              <w:snapToGrid w:val="0"/>
              <w:spacing w:line="300" w:lineRule="exact"/>
              <w:jc w:val="center"/>
              <w:rPr>
                <w:rFonts w:ascii="仿宋" w:hAnsi="仿宋" w:eastAsia="仿宋" w:cs="仿宋"/>
                <w:bCs/>
                <w:color w:val="auto"/>
                <w:szCs w:val="21"/>
              </w:rPr>
            </w:pPr>
          </w:p>
        </w:tc>
      </w:tr>
    </w:tbl>
    <w:p>
      <w:pPr>
        <w:widowControl/>
        <w:tabs>
          <w:tab w:val="left" w:pos="7920"/>
        </w:tabs>
        <w:adjustRightInd w:val="0"/>
        <w:snapToGrid w:val="0"/>
        <w:spacing w:line="360" w:lineRule="auto"/>
        <w:ind w:firstLine="420" w:firstLineChars="200"/>
        <w:jc w:val="left"/>
        <w:rPr>
          <w:bCs/>
          <w:color w:val="auto"/>
        </w:rPr>
      </w:pPr>
    </w:p>
    <w:p>
      <w:pPr>
        <w:adjustRightInd w:val="0"/>
        <w:snapToGrid w:val="0"/>
        <w:spacing w:line="360" w:lineRule="auto"/>
        <w:ind w:firstLine="420"/>
        <w:rPr>
          <w:rFonts w:hint="eastAsia" w:ascii="仿宋" w:hAnsi="仿宋" w:eastAsia="仿宋" w:cs="仿宋"/>
          <w:color w:val="auto"/>
        </w:rPr>
      </w:pPr>
      <w:r>
        <w:rPr>
          <w:rFonts w:hint="eastAsia" w:ascii="仿宋" w:hAnsi="仿宋" w:eastAsia="仿宋" w:cs="仿宋"/>
          <w:bCs/>
          <w:color w:val="auto"/>
        </w:rPr>
        <w:t>2.当招聘职位的报名人数</w:t>
      </w:r>
      <w:r>
        <w:rPr>
          <w:rFonts w:hint="eastAsia" w:ascii="仿宋" w:hAnsi="仿宋" w:eastAsia="仿宋" w:cs="仿宋"/>
          <w:color w:val="auto"/>
        </w:rPr>
        <w:t>超过12人时，该招聘职位报考人员则需先进行知识测验，具体安排如下：</w:t>
      </w:r>
      <w:r>
        <w:rPr>
          <w:rFonts w:hint="eastAsia" w:ascii="仿宋" w:hAnsi="仿宋" w:eastAsia="仿宋" w:cs="仿宋"/>
          <w:color w:val="auto"/>
          <w:lang w:val="en-US" w:eastAsia="zh-CN"/>
        </w:rPr>
        <w:t>（注：长沙市教育局将于4月22日</w:t>
      </w:r>
      <w:r>
        <w:rPr>
          <w:rFonts w:hint="eastAsia" w:ascii="仿宋" w:hAnsi="仿宋" w:eastAsia="仿宋" w:cs="仿宋"/>
          <w:color w:val="auto"/>
          <w:lang w:eastAsia="zh-CN"/>
        </w:rPr>
        <w:t>公布各招聘职位的报名人数、被取消的职位和被核减的职数。）</w:t>
      </w:r>
    </w:p>
    <w:p>
      <w:pPr>
        <w:adjustRightInd w:val="0"/>
        <w:snapToGrid w:val="0"/>
        <w:spacing w:line="360" w:lineRule="auto"/>
        <w:ind w:firstLine="420"/>
        <w:rPr>
          <w:rFonts w:hint="eastAsia" w:ascii="仿宋" w:hAnsi="仿宋" w:eastAsia="仿宋" w:cs="仿宋"/>
          <w:color w:val="auto"/>
          <w:lang w:eastAsia="zh-CN"/>
        </w:rPr>
      </w:pPr>
      <w:r>
        <w:rPr>
          <w:rFonts w:hint="eastAsia" w:ascii="仿宋" w:hAnsi="仿宋" w:eastAsia="仿宋" w:cs="仿宋"/>
          <w:color w:val="auto"/>
        </w:rPr>
        <w:t>(1)知识测验内容为专业知识，满分100分，</w:t>
      </w:r>
      <w:r>
        <w:rPr>
          <w:rFonts w:hint="eastAsia" w:ascii="仿宋" w:hAnsi="仿宋" w:eastAsia="仿宋" w:cs="仿宋"/>
          <w:color w:val="auto"/>
          <w:lang w:eastAsia="zh-CN"/>
        </w:rPr>
        <w:t>时长</w:t>
      </w:r>
      <w:r>
        <w:rPr>
          <w:rFonts w:hint="eastAsia" w:ascii="仿宋" w:hAnsi="仿宋" w:eastAsia="仿宋" w:cs="仿宋"/>
          <w:color w:val="auto"/>
          <w:lang w:val="en-US" w:eastAsia="zh-CN"/>
        </w:rPr>
        <w:t>60分钟。</w:t>
      </w:r>
      <w:r>
        <w:rPr>
          <w:rFonts w:hint="eastAsia" w:ascii="仿宋" w:hAnsi="仿宋" w:eastAsia="仿宋" w:cs="仿宋"/>
          <w:color w:val="auto"/>
        </w:rPr>
        <w:t>考室和座位号于4月22日（</w:t>
      </w:r>
      <w:r>
        <w:rPr>
          <w:rFonts w:hint="eastAsia" w:ascii="仿宋" w:hAnsi="仿宋" w:eastAsia="仿宋" w:cs="仿宋"/>
          <w:color w:val="auto"/>
          <w:lang w:eastAsia="zh-CN"/>
        </w:rPr>
        <w:t>周</w:t>
      </w:r>
      <w:r>
        <w:rPr>
          <w:rFonts w:hint="eastAsia" w:ascii="仿宋" w:hAnsi="仿宋" w:eastAsia="仿宋" w:cs="仿宋"/>
          <w:color w:val="auto"/>
        </w:rPr>
        <w:t>四）在16:00左右在学校网站发布。知识测验</w:t>
      </w:r>
      <w:r>
        <w:rPr>
          <w:rFonts w:hint="eastAsia" w:ascii="仿宋" w:hAnsi="仿宋" w:eastAsia="仿宋" w:cs="仿宋"/>
          <w:color w:val="auto"/>
          <w:lang w:eastAsia="zh-CN"/>
        </w:rPr>
        <w:t>集合时间为</w:t>
      </w:r>
      <w:r>
        <w:rPr>
          <w:rFonts w:hint="eastAsia" w:ascii="仿宋" w:hAnsi="仿宋" w:eastAsia="仿宋" w:cs="仿宋"/>
          <w:color w:val="auto"/>
        </w:rPr>
        <w:t>4月23日（周五）</w:t>
      </w:r>
      <w:r>
        <w:rPr>
          <w:rFonts w:hint="eastAsia" w:ascii="仿宋" w:hAnsi="仿宋" w:eastAsia="仿宋" w:cs="仿宋"/>
          <w:color w:val="auto"/>
          <w:lang w:eastAsia="zh-CN"/>
        </w:rPr>
        <w:t>下午</w:t>
      </w:r>
      <w:r>
        <w:rPr>
          <w:rFonts w:hint="eastAsia" w:ascii="仿宋" w:hAnsi="仿宋" w:eastAsia="仿宋" w:cs="仿宋"/>
          <w:color w:val="auto"/>
        </w:rPr>
        <w:t>14：00</w:t>
      </w:r>
      <w:r>
        <w:rPr>
          <w:rFonts w:hint="eastAsia" w:ascii="仿宋" w:hAnsi="仿宋" w:eastAsia="仿宋" w:cs="仿宋"/>
          <w:color w:val="auto"/>
          <w:lang w:eastAsia="zh-CN"/>
        </w:rPr>
        <w:t>，</w:t>
      </w:r>
      <w:r>
        <w:rPr>
          <w:rFonts w:hint="eastAsia" w:ascii="仿宋" w:hAnsi="仿宋" w:eastAsia="仿宋" w:cs="仿宋"/>
          <w:color w:val="auto"/>
        </w:rPr>
        <w:t>迟到考生不得进入考室。知识测验成绩于当天17:00左右在学校网站公布，对知识测验成绩有异议者于4月23日18:00前</w:t>
      </w:r>
      <w:r>
        <w:rPr>
          <w:rFonts w:hint="eastAsia" w:ascii="仿宋" w:hAnsi="仿宋" w:eastAsia="仿宋" w:cs="仿宋"/>
          <w:color w:val="auto"/>
          <w:highlight w:val="none"/>
          <w:lang w:val="en-US" w:eastAsia="zh-CN"/>
        </w:rPr>
        <w:t>cscj.bgs@163.com</w:t>
      </w:r>
      <w:r>
        <w:rPr>
          <w:rFonts w:hint="eastAsia" w:ascii="仿宋" w:hAnsi="仿宋" w:eastAsia="仿宋" w:cs="仿宋"/>
          <w:color w:val="auto"/>
          <w:highlight w:val="none"/>
        </w:rPr>
        <w:t>邮箱</w:t>
      </w:r>
      <w:r>
        <w:rPr>
          <w:rFonts w:hint="eastAsia" w:ascii="仿宋" w:hAnsi="仿宋" w:eastAsia="仿宋" w:cs="仿宋"/>
          <w:color w:val="auto"/>
        </w:rPr>
        <w:t>提交身份证（双面）照片、《初试准考证》照片</w:t>
      </w:r>
      <w:r>
        <w:rPr>
          <w:rFonts w:hint="eastAsia" w:ascii="仿宋" w:hAnsi="仿宋" w:eastAsia="仿宋" w:cs="仿宋"/>
          <w:color w:val="auto"/>
          <w:lang w:eastAsia="zh-CN"/>
        </w:rPr>
        <w:t>、</w:t>
      </w:r>
      <w:r>
        <w:rPr>
          <w:rFonts w:hint="eastAsia" w:ascii="仿宋" w:hAnsi="仿宋" w:eastAsia="仿宋" w:cs="仿宋"/>
          <w:color w:val="auto"/>
        </w:rPr>
        <w:t>已公布的本人知识测验成绩申请核分，18:30左右在学校网站公布核分结果</w:t>
      </w:r>
      <w:r>
        <w:rPr>
          <w:rFonts w:hint="eastAsia" w:ascii="仿宋" w:hAnsi="仿宋" w:eastAsia="仿宋" w:cs="仿宋"/>
          <w:color w:val="auto"/>
          <w:lang w:eastAsia="zh-CN"/>
        </w:rPr>
        <w:t>。</w:t>
      </w:r>
    </w:p>
    <w:p>
      <w:pPr>
        <w:adjustRightInd w:val="0"/>
        <w:snapToGrid w:val="0"/>
        <w:spacing w:line="360" w:lineRule="auto"/>
        <w:ind w:firstLine="420"/>
        <w:rPr>
          <w:rFonts w:hint="eastAsia" w:ascii="仿宋" w:hAnsi="仿宋" w:eastAsia="仿宋" w:cs="仿宋"/>
          <w:color w:val="auto"/>
          <w:lang w:eastAsia="zh-CN"/>
        </w:rPr>
      </w:pPr>
      <w:r>
        <w:rPr>
          <w:rFonts w:hint="eastAsia" w:ascii="仿宋" w:hAnsi="仿宋" w:eastAsia="仿宋" w:cs="仿宋"/>
          <w:color w:val="auto"/>
        </w:rPr>
        <w:t>(2)以招聘职位数为基数，依知识测验成绩从高分到低分按1:12的比例确定入围初试人选（</w:t>
      </w:r>
      <w:r>
        <w:rPr>
          <w:rFonts w:hint="eastAsia" w:ascii="仿宋" w:hAnsi="仿宋" w:eastAsia="仿宋" w:cs="仿宋"/>
          <w:color w:val="auto"/>
          <w:lang w:eastAsia="zh-CN"/>
        </w:rPr>
        <w:t>比例内</w:t>
      </w:r>
      <w:r>
        <w:rPr>
          <w:rFonts w:hint="eastAsia" w:ascii="仿宋" w:hAnsi="仿宋" w:eastAsia="仿宋" w:cs="仿宋"/>
          <w:color w:val="auto"/>
        </w:rPr>
        <w:t>末位分数相等的均入围），入围人选名单于18:30左右在学校网站公布。知识测验得分不计入初试成绩</w:t>
      </w:r>
      <w:r>
        <w:rPr>
          <w:rFonts w:hint="eastAsia" w:ascii="仿宋" w:hAnsi="仿宋" w:eastAsia="仿宋" w:cs="仿宋"/>
          <w:color w:val="auto"/>
          <w:lang w:eastAsia="zh-CN"/>
        </w:rPr>
        <w:t>。</w:t>
      </w:r>
    </w:p>
    <w:p>
      <w:pPr>
        <w:adjustRightInd w:val="0"/>
        <w:snapToGrid w:val="0"/>
        <w:spacing w:line="360" w:lineRule="auto"/>
        <w:ind w:firstLine="420"/>
        <w:rPr>
          <w:rFonts w:hint="eastAsia" w:ascii="仿宋" w:hAnsi="仿宋" w:eastAsia="仿宋" w:cs="仿宋"/>
          <w:color w:val="auto"/>
          <w:lang w:eastAsia="zh-CN"/>
        </w:rPr>
      </w:pPr>
      <w:r>
        <w:rPr>
          <w:rFonts w:hint="eastAsia" w:ascii="仿宋" w:hAnsi="仿宋" w:eastAsia="仿宋" w:cs="仿宋"/>
          <w:color w:val="auto"/>
        </w:rPr>
        <w:t>(3)入围人员于4月24日</w:t>
      </w:r>
      <w:r>
        <w:rPr>
          <w:rFonts w:hint="eastAsia" w:ascii="仿宋" w:hAnsi="仿宋" w:eastAsia="仿宋" w:cs="仿宋"/>
          <w:color w:val="auto"/>
          <w:lang w:eastAsia="zh-CN"/>
        </w:rPr>
        <w:t>上午</w:t>
      </w:r>
      <w:r>
        <w:rPr>
          <w:rFonts w:hint="eastAsia" w:ascii="仿宋" w:hAnsi="仿宋" w:eastAsia="仿宋" w:cs="仿宋"/>
          <w:color w:val="auto"/>
        </w:rPr>
        <w:t>8:00参加初试，集合时间地点见上表</w:t>
      </w:r>
      <w:r>
        <w:rPr>
          <w:rFonts w:hint="eastAsia" w:ascii="仿宋" w:hAnsi="仿宋" w:eastAsia="仿宋" w:cs="仿宋"/>
          <w:color w:val="auto"/>
          <w:lang w:eastAsia="zh-CN"/>
        </w:rPr>
        <w:t>，</w:t>
      </w:r>
      <w:r>
        <w:rPr>
          <w:rFonts w:hint="eastAsia" w:ascii="仿宋" w:hAnsi="仿宋" w:eastAsia="仿宋" w:cs="仿宋"/>
          <w:color w:val="auto"/>
          <w:lang w:val="en-US" w:eastAsia="zh-CN"/>
        </w:rPr>
        <w:t>初试按本初试办法“具体做法”第1条实施。</w:t>
      </w:r>
    </w:p>
    <w:p>
      <w:pPr>
        <w:adjustRightInd w:val="0"/>
        <w:snapToGrid w:val="0"/>
        <w:spacing w:line="360" w:lineRule="auto"/>
        <w:ind w:firstLine="420"/>
        <w:rPr>
          <w:rFonts w:hint="eastAsia" w:ascii="仿宋" w:hAnsi="仿宋" w:eastAsia="仿宋" w:cs="仿宋"/>
          <w:color w:val="auto"/>
          <w:lang w:eastAsia="zh-CN"/>
        </w:rPr>
      </w:pPr>
      <w:r>
        <w:rPr>
          <w:rFonts w:hint="eastAsia" w:ascii="仿宋" w:hAnsi="仿宋" w:eastAsia="仿宋" w:cs="仿宋"/>
          <w:color w:val="auto"/>
        </w:rPr>
        <w:t>(4)当</w:t>
      </w:r>
      <w:r>
        <w:rPr>
          <w:rFonts w:hint="eastAsia" w:ascii="仿宋" w:hAnsi="仿宋" w:eastAsia="仿宋" w:cs="仿宋"/>
          <w:color w:val="auto"/>
          <w:lang w:eastAsia="zh-CN"/>
        </w:rPr>
        <w:t>各招聘职位</w:t>
      </w:r>
      <w:r>
        <w:rPr>
          <w:rFonts w:hint="eastAsia" w:ascii="仿宋" w:hAnsi="仿宋" w:eastAsia="仿宋" w:cs="仿宋"/>
          <w:color w:val="auto"/>
        </w:rPr>
        <w:t>实际到达知识测验考场人数</w:t>
      </w:r>
      <w:r>
        <w:rPr>
          <w:rFonts w:hint="eastAsia" w:ascii="仿宋" w:hAnsi="仿宋" w:eastAsia="仿宋" w:cs="仿宋"/>
          <w:color w:val="auto"/>
          <w:lang w:eastAsia="zh-CN"/>
        </w:rPr>
        <w:t>未超过</w:t>
      </w:r>
      <w:r>
        <w:rPr>
          <w:rFonts w:hint="eastAsia" w:ascii="仿宋" w:hAnsi="仿宋" w:eastAsia="仿宋" w:cs="仿宋"/>
          <w:color w:val="auto"/>
        </w:rPr>
        <w:t>12人时，</w:t>
      </w:r>
      <w:r>
        <w:rPr>
          <w:rFonts w:hint="eastAsia" w:ascii="仿宋" w:hAnsi="仿宋" w:eastAsia="仿宋" w:cs="仿宋"/>
          <w:color w:val="auto"/>
          <w:lang w:eastAsia="zh-CN"/>
        </w:rPr>
        <w:t>则知识测验不再进行，</w:t>
      </w:r>
      <w:r>
        <w:rPr>
          <w:rFonts w:hint="eastAsia" w:ascii="仿宋" w:hAnsi="仿宋" w:eastAsia="仿宋" w:cs="仿宋"/>
          <w:color w:val="auto"/>
          <w:lang w:val="en-US" w:eastAsia="zh-CN"/>
        </w:rPr>
        <w:t>按时到达知识测验考场的考生均进入初试</w:t>
      </w:r>
      <w:r>
        <w:rPr>
          <w:rFonts w:hint="eastAsia" w:ascii="仿宋" w:hAnsi="仿宋" w:eastAsia="仿宋" w:cs="仿宋"/>
          <w:color w:val="auto"/>
          <w:lang w:eastAsia="zh-CN"/>
        </w:rPr>
        <w:t>。</w:t>
      </w:r>
    </w:p>
    <w:p>
      <w:pPr>
        <w:adjustRightInd w:val="0"/>
        <w:snapToGrid w:val="0"/>
        <w:spacing w:line="360" w:lineRule="auto"/>
        <w:ind w:firstLine="422" w:firstLineChars="200"/>
        <w:rPr>
          <w:rFonts w:ascii="仿宋" w:hAnsi="仿宋" w:eastAsia="仿宋" w:cs="仿宋"/>
          <w:b/>
          <w:bCs/>
          <w:color w:val="auto"/>
        </w:rPr>
      </w:pPr>
      <w:r>
        <w:rPr>
          <w:rFonts w:hint="eastAsia" w:ascii="仿宋" w:hAnsi="仿宋" w:eastAsia="仿宋" w:cs="仿宋"/>
          <w:b/>
          <w:bCs/>
          <w:color w:val="auto"/>
        </w:rPr>
        <w:t>二、相关要求</w:t>
      </w:r>
    </w:p>
    <w:p>
      <w:pPr>
        <w:adjustRightInd w:val="0"/>
        <w:snapToGrid w:val="0"/>
        <w:spacing w:line="360" w:lineRule="auto"/>
        <w:ind w:firstLine="420"/>
        <w:rPr>
          <w:rFonts w:hint="eastAsia" w:ascii="仿宋" w:hAnsi="仿宋" w:eastAsia="仿宋" w:cs="仿宋"/>
          <w:color w:val="auto"/>
          <w:lang w:eastAsia="zh-CN"/>
        </w:rPr>
      </w:pPr>
      <w:r>
        <w:rPr>
          <w:rFonts w:hint="eastAsia" w:ascii="仿宋" w:hAnsi="仿宋" w:eastAsia="仿宋" w:cs="仿宋"/>
          <w:color w:val="auto"/>
          <w:lang w:val="en-US" w:eastAsia="zh-CN"/>
        </w:rPr>
        <w:t>1、</w:t>
      </w:r>
      <w:r>
        <w:rPr>
          <w:rFonts w:hint="eastAsia" w:ascii="仿宋" w:hAnsi="仿宋" w:eastAsia="仿宋" w:cs="仿宋"/>
          <w:color w:val="auto"/>
        </w:rPr>
        <w:t>考生凭本人有效居民身份证</w:t>
      </w:r>
      <w:r>
        <w:rPr>
          <w:rFonts w:hint="eastAsia" w:ascii="仿宋" w:hAnsi="仿宋" w:eastAsia="仿宋" w:cs="仿宋"/>
          <w:color w:val="auto"/>
          <w:lang w:eastAsia="zh-CN"/>
        </w:rPr>
        <w:t>原件（含有效期内的临时身份证或户籍证明，但不可使用电子身份证、乘车乘机临时身份证明或其他证件代替）和《初试准考证》</w:t>
      </w:r>
      <w:r>
        <w:rPr>
          <w:rFonts w:hint="eastAsia" w:ascii="仿宋" w:hAnsi="仿宋" w:eastAsia="仿宋" w:cs="仿宋"/>
          <w:color w:val="auto"/>
          <w:lang w:val="en-US" w:eastAsia="zh-CN"/>
        </w:rPr>
        <w:t>（4月21日周三下午17:00左右开始在报名系统打印）</w:t>
      </w:r>
      <w:r>
        <w:rPr>
          <w:rFonts w:hint="eastAsia" w:ascii="仿宋" w:hAnsi="仿宋" w:eastAsia="仿宋" w:cs="仿宋"/>
          <w:color w:val="auto"/>
          <w:lang w:eastAsia="zh-CN"/>
        </w:rPr>
        <w:t>方可进入</w:t>
      </w:r>
      <w:bookmarkStart w:id="0" w:name="_GoBack"/>
      <w:bookmarkEnd w:id="0"/>
      <w:r>
        <w:rPr>
          <w:rFonts w:hint="eastAsia" w:ascii="仿宋" w:hAnsi="仿宋" w:eastAsia="仿宋" w:cs="仿宋"/>
          <w:color w:val="auto"/>
          <w:lang w:eastAsia="zh-CN"/>
        </w:rPr>
        <w:t>考点参加考试。不得自带任</w:t>
      </w:r>
      <w:r>
        <w:rPr>
          <w:rFonts w:hint="eastAsia" w:ascii="仿宋" w:hAnsi="仿宋" w:eastAsia="仿宋" w:cs="仿宋"/>
          <w:color w:val="auto"/>
        </w:rPr>
        <w:t>何资料</w:t>
      </w:r>
      <w:r>
        <w:rPr>
          <w:rFonts w:hint="eastAsia" w:ascii="仿宋" w:hAnsi="仿宋" w:eastAsia="仿宋" w:cs="仿宋"/>
          <w:color w:val="auto"/>
          <w:lang w:eastAsia="zh-CN"/>
        </w:rPr>
        <w:t>（音乐职位考生自备伴奏、道具等器材，美发与形象设计职位考生自备美发造型相关工具）</w:t>
      </w:r>
      <w:r>
        <w:rPr>
          <w:rFonts w:hint="eastAsia" w:ascii="仿宋" w:hAnsi="仿宋" w:eastAsia="仿宋" w:cs="仿宋"/>
          <w:color w:val="auto"/>
        </w:rPr>
        <w:t>。未按时到达集合地点者视为自动放弃</w:t>
      </w:r>
      <w:r>
        <w:rPr>
          <w:rFonts w:hint="eastAsia" w:ascii="仿宋" w:hAnsi="仿宋" w:eastAsia="仿宋" w:cs="仿宋"/>
          <w:color w:val="auto"/>
          <w:lang w:eastAsia="zh-CN"/>
        </w:rPr>
        <w:t>。</w:t>
      </w:r>
    </w:p>
    <w:p>
      <w:pPr>
        <w:adjustRightInd w:val="0"/>
        <w:snapToGrid w:val="0"/>
        <w:spacing w:line="360" w:lineRule="auto"/>
        <w:ind w:firstLine="420"/>
        <w:rPr>
          <w:rFonts w:hint="eastAsia" w:ascii="仿宋" w:hAnsi="仿宋" w:eastAsia="仿宋" w:cs="仿宋"/>
          <w:color w:val="auto"/>
          <w:lang w:val="en-US" w:eastAsia="zh-CN"/>
        </w:rPr>
      </w:pPr>
      <w:r>
        <w:rPr>
          <w:rFonts w:hint="eastAsia" w:ascii="仿宋" w:hAnsi="仿宋" w:eastAsia="仿宋" w:cs="仿宋"/>
          <w:color w:val="auto"/>
          <w:lang w:val="en-US" w:eastAsia="zh-CN"/>
        </w:rPr>
        <w:t>2、考生不得自带电子产品和通讯工具</w:t>
      </w:r>
      <w:r>
        <w:rPr>
          <w:rFonts w:hint="eastAsia" w:ascii="仿宋" w:hAnsi="仿宋" w:eastAsia="仿宋" w:cs="仿宋"/>
          <w:color w:val="auto"/>
          <w:lang w:eastAsia="zh-CN"/>
        </w:rPr>
        <w:t>进入考点、考室。在初试任一环节中，考生均不得中途离场。未按要求参加初试任一环节者视为自行放弃。初试中出现的违纪违规情况按《事业单位公开招聘违纪违规行为处理规定》处理。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20"/>
        <w:rPr>
          <w:rFonts w:ascii="仿宋" w:hAnsi="仿宋" w:eastAsia="仿宋" w:cs="仿宋"/>
          <w:color w:val="auto"/>
          <w:szCs w:val="21"/>
        </w:rPr>
      </w:pPr>
      <w:r>
        <w:rPr>
          <w:rFonts w:hint="eastAsia" w:ascii="仿宋" w:hAnsi="仿宋" w:eastAsia="仿宋" w:cs="仿宋"/>
          <w:color w:val="auto"/>
          <w:lang w:val="en-US" w:eastAsia="zh-CN"/>
        </w:rPr>
        <w:t>3、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r>
        <w:rPr>
          <w:rFonts w:hint="eastAsia" w:ascii="仿宋" w:hAnsi="仿宋" w:eastAsia="仿宋" w:cs="仿宋"/>
          <w:color w:val="auto"/>
        </w:rPr>
        <w:t>。</w:t>
      </w:r>
    </w:p>
    <w:p>
      <w:pPr>
        <w:adjustRightInd w:val="0"/>
        <w:snapToGrid w:val="0"/>
        <w:spacing w:line="360" w:lineRule="auto"/>
        <w:ind w:firstLine="422" w:firstLineChars="200"/>
        <w:rPr>
          <w:rFonts w:ascii="仿宋" w:hAnsi="仿宋" w:eastAsia="仿宋" w:cs="仿宋"/>
          <w:b/>
          <w:bCs/>
          <w:color w:val="auto"/>
        </w:rPr>
      </w:pPr>
      <w:r>
        <w:rPr>
          <w:rFonts w:hint="eastAsia" w:ascii="仿宋" w:hAnsi="仿宋" w:eastAsia="仿宋" w:cs="仿宋"/>
          <w:b/>
          <w:bCs/>
          <w:color w:val="auto"/>
        </w:rPr>
        <w:t>三、联系方式</w:t>
      </w:r>
    </w:p>
    <w:p>
      <w:pPr>
        <w:adjustRightInd w:val="0"/>
        <w:snapToGrid w:val="0"/>
        <w:spacing w:line="360" w:lineRule="auto"/>
        <w:ind w:firstLine="420"/>
        <w:rPr>
          <w:rFonts w:ascii="仿宋" w:hAnsi="仿宋" w:eastAsia="仿宋" w:cs="仿宋"/>
          <w:color w:val="auto"/>
        </w:rPr>
      </w:pPr>
      <w:r>
        <w:rPr>
          <w:rFonts w:hint="eastAsia" w:ascii="仿宋" w:hAnsi="仿宋" w:eastAsia="仿宋" w:cs="仿宋"/>
          <w:color w:val="auto"/>
        </w:rPr>
        <w:t>联系电话（工作日使用）：0731-84905711</w:t>
      </w:r>
    </w:p>
    <w:p>
      <w:pPr>
        <w:adjustRightInd w:val="0"/>
        <w:snapToGrid w:val="0"/>
        <w:spacing w:line="360" w:lineRule="auto"/>
        <w:ind w:firstLine="420"/>
        <w:rPr>
          <w:rFonts w:ascii="仿宋" w:hAnsi="仿宋" w:eastAsia="仿宋" w:cs="仿宋"/>
          <w:color w:val="auto"/>
        </w:rPr>
      </w:pPr>
      <w:r>
        <w:rPr>
          <w:rFonts w:hint="eastAsia" w:ascii="仿宋" w:hAnsi="仿宋" w:eastAsia="仿宋" w:cs="仿宋"/>
          <w:color w:val="auto"/>
        </w:rPr>
        <w:t>学校地址：（职教城校区）长沙市雨花区环保</w:t>
      </w:r>
      <w:r>
        <w:rPr>
          <w:rFonts w:hint="eastAsia" w:ascii="仿宋" w:hAnsi="仿宋" w:eastAsia="仿宋" w:cs="仿宋"/>
          <w:color w:val="auto"/>
          <w:lang w:eastAsia="zh-CN"/>
        </w:rPr>
        <w:t>科技</w:t>
      </w:r>
      <w:r>
        <w:rPr>
          <w:rFonts w:hint="eastAsia" w:ascii="仿宋" w:hAnsi="仿宋" w:eastAsia="仿宋" w:cs="仿宋"/>
          <w:color w:val="auto"/>
        </w:rPr>
        <w:t>园职教城路68号</w:t>
      </w:r>
    </w:p>
    <w:p>
      <w:pPr>
        <w:adjustRightInd w:val="0"/>
        <w:snapToGrid w:val="0"/>
        <w:spacing w:line="360" w:lineRule="auto"/>
        <w:ind w:firstLine="420"/>
        <w:rPr>
          <w:rStyle w:val="9"/>
          <w:rFonts w:ascii="仿宋" w:hAnsi="仿宋" w:eastAsia="仿宋" w:cs="仿宋"/>
          <w:color w:val="auto"/>
          <w:szCs w:val="22"/>
          <w:u w:val="none"/>
        </w:rPr>
      </w:pPr>
      <w:r>
        <w:rPr>
          <w:rFonts w:hint="eastAsia" w:ascii="仿宋" w:hAnsi="仿宋" w:eastAsia="仿宋" w:cs="仿宋"/>
          <w:color w:val="auto"/>
        </w:rPr>
        <w:t>学校网址：http://www.cscjedu.com/</w:t>
      </w:r>
    </w:p>
    <w:p>
      <w:pPr>
        <w:adjustRightInd w:val="0"/>
        <w:snapToGrid w:val="0"/>
        <w:spacing w:line="360" w:lineRule="auto"/>
        <w:ind w:firstLine="420" w:firstLineChars="200"/>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59264" behindDoc="0" locked="0" layoutInCell="1" allowOverlap="1">
            <wp:simplePos x="0" y="0"/>
            <wp:positionH relativeFrom="column">
              <wp:posOffset>1308735</wp:posOffset>
            </wp:positionH>
            <wp:positionV relativeFrom="paragraph">
              <wp:posOffset>14605</wp:posOffset>
            </wp:positionV>
            <wp:extent cx="1209040" cy="1216660"/>
            <wp:effectExtent l="0" t="0" r="0"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09040" cy="1216660"/>
                    </a:xfrm>
                    <a:prstGeom prst="rect">
                      <a:avLst/>
                    </a:prstGeom>
                  </pic:spPr>
                </pic:pic>
              </a:graphicData>
            </a:graphic>
          </wp:anchor>
        </w:drawing>
      </w:r>
    </w:p>
    <w:p>
      <w:pPr>
        <w:adjustRightInd w:val="0"/>
        <w:snapToGrid w:val="0"/>
        <w:spacing w:line="360" w:lineRule="auto"/>
        <w:ind w:firstLine="420" w:firstLineChars="200"/>
        <w:rPr>
          <w:rFonts w:ascii="仿宋" w:hAnsi="仿宋" w:eastAsia="仿宋" w:cs="仿宋"/>
          <w:color w:val="auto"/>
        </w:rPr>
      </w:pPr>
    </w:p>
    <w:p>
      <w:pPr>
        <w:adjustRightInd w:val="0"/>
        <w:snapToGrid w:val="0"/>
        <w:spacing w:line="360" w:lineRule="auto"/>
        <w:ind w:left="424" w:leftChars="202"/>
        <w:jc w:val="left"/>
        <w:rPr>
          <w:rFonts w:ascii="仿宋" w:hAnsi="仿宋" w:eastAsia="仿宋" w:cs="仿宋"/>
          <w:color w:val="auto"/>
        </w:rPr>
      </w:pPr>
      <w:r>
        <w:rPr>
          <w:rFonts w:hint="eastAsia" w:ascii="仿宋" w:hAnsi="仿宋" w:eastAsia="仿宋" w:cs="仿宋"/>
          <w:color w:val="auto"/>
        </w:rPr>
        <w:t xml:space="preserve">学校官网二维码                     </w:t>
      </w:r>
    </w:p>
    <w:p>
      <w:pPr>
        <w:adjustRightInd w:val="0"/>
        <w:snapToGrid w:val="0"/>
        <w:spacing w:line="360" w:lineRule="auto"/>
        <w:jc w:val="left"/>
        <w:rPr>
          <w:rFonts w:ascii="仿宋" w:hAnsi="仿宋" w:eastAsia="仿宋" w:cs="仿宋"/>
          <w:color w:val="auto"/>
        </w:rPr>
      </w:pPr>
    </w:p>
    <w:p>
      <w:pPr>
        <w:adjustRightInd w:val="0"/>
        <w:snapToGrid w:val="0"/>
        <w:spacing w:line="360" w:lineRule="auto"/>
        <w:jc w:val="left"/>
        <w:rPr>
          <w:rFonts w:ascii="仿宋" w:hAnsi="仿宋" w:eastAsia="仿宋" w:cs="仿宋"/>
          <w:color w:val="auto"/>
        </w:rPr>
      </w:pPr>
    </w:p>
    <w:p>
      <w:pPr>
        <w:adjustRightInd w:val="0"/>
        <w:snapToGrid w:val="0"/>
        <w:spacing w:line="360" w:lineRule="auto"/>
        <w:jc w:val="left"/>
        <w:rPr>
          <w:rFonts w:ascii="仿宋" w:hAnsi="仿宋" w:eastAsia="仿宋" w:cs="仿宋"/>
          <w:color w:val="auto"/>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360" w:lineRule="auto"/>
        <w:rPr>
          <w:rFonts w:ascii="仿宋" w:hAnsi="仿宋" w:eastAsia="仿宋" w:cs="仿宋"/>
          <w:color w:val="auto"/>
        </w:rPr>
      </w:pPr>
      <w:r>
        <w:rPr>
          <w:rFonts w:hint="eastAsia" w:ascii="仿宋" w:hAnsi="仿宋" w:eastAsia="仿宋" w:cs="仿宋"/>
          <w:color w:val="auto"/>
        </w:rPr>
        <w:t xml:space="preserve"> </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B165B"/>
    <w:rsid w:val="0000611C"/>
    <w:rsid w:val="000B7EC5"/>
    <w:rsid w:val="000C7E12"/>
    <w:rsid w:val="000E1335"/>
    <w:rsid w:val="001258EB"/>
    <w:rsid w:val="0017509D"/>
    <w:rsid w:val="00196EE2"/>
    <w:rsid w:val="002A17BD"/>
    <w:rsid w:val="002E11B4"/>
    <w:rsid w:val="0033269C"/>
    <w:rsid w:val="0035260A"/>
    <w:rsid w:val="00372A00"/>
    <w:rsid w:val="003813C7"/>
    <w:rsid w:val="0039312D"/>
    <w:rsid w:val="003B78E4"/>
    <w:rsid w:val="003E7290"/>
    <w:rsid w:val="00401C49"/>
    <w:rsid w:val="0044149B"/>
    <w:rsid w:val="004A20C7"/>
    <w:rsid w:val="004B0A0E"/>
    <w:rsid w:val="004C0FAD"/>
    <w:rsid w:val="0052599A"/>
    <w:rsid w:val="00571C62"/>
    <w:rsid w:val="005F7FA8"/>
    <w:rsid w:val="00631C1F"/>
    <w:rsid w:val="0066043B"/>
    <w:rsid w:val="006700FF"/>
    <w:rsid w:val="00696A3E"/>
    <w:rsid w:val="006A1B9C"/>
    <w:rsid w:val="006A768A"/>
    <w:rsid w:val="006B5E51"/>
    <w:rsid w:val="006B6446"/>
    <w:rsid w:val="006D62D4"/>
    <w:rsid w:val="006D65EB"/>
    <w:rsid w:val="006D66D8"/>
    <w:rsid w:val="006E7EFC"/>
    <w:rsid w:val="006F6719"/>
    <w:rsid w:val="007C1054"/>
    <w:rsid w:val="007E0016"/>
    <w:rsid w:val="00845E0E"/>
    <w:rsid w:val="008523F6"/>
    <w:rsid w:val="008623FE"/>
    <w:rsid w:val="008A60F8"/>
    <w:rsid w:val="008C743F"/>
    <w:rsid w:val="009969AA"/>
    <w:rsid w:val="009A2D7E"/>
    <w:rsid w:val="009A5939"/>
    <w:rsid w:val="009B6262"/>
    <w:rsid w:val="009F1045"/>
    <w:rsid w:val="00A76F1F"/>
    <w:rsid w:val="00A87EF0"/>
    <w:rsid w:val="00AA05D6"/>
    <w:rsid w:val="00AC2961"/>
    <w:rsid w:val="00B27748"/>
    <w:rsid w:val="00B33D4B"/>
    <w:rsid w:val="00B5275A"/>
    <w:rsid w:val="00B70F9A"/>
    <w:rsid w:val="00B80DDA"/>
    <w:rsid w:val="00B92502"/>
    <w:rsid w:val="00BF220B"/>
    <w:rsid w:val="00C35519"/>
    <w:rsid w:val="00D66524"/>
    <w:rsid w:val="00DD5630"/>
    <w:rsid w:val="00E63908"/>
    <w:rsid w:val="00E63CEA"/>
    <w:rsid w:val="00EA65DE"/>
    <w:rsid w:val="00EE16EA"/>
    <w:rsid w:val="00F22A16"/>
    <w:rsid w:val="00FB1861"/>
    <w:rsid w:val="02137FEC"/>
    <w:rsid w:val="02C5575B"/>
    <w:rsid w:val="031E2299"/>
    <w:rsid w:val="039B73AE"/>
    <w:rsid w:val="03BA2E5C"/>
    <w:rsid w:val="049628CE"/>
    <w:rsid w:val="049645E4"/>
    <w:rsid w:val="04991962"/>
    <w:rsid w:val="06DB46CA"/>
    <w:rsid w:val="0710526A"/>
    <w:rsid w:val="0948435B"/>
    <w:rsid w:val="10E62F21"/>
    <w:rsid w:val="13616F42"/>
    <w:rsid w:val="13C1319C"/>
    <w:rsid w:val="13D05F18"/>
    <w:rsid w:val="13DA5037"/>
    <w:rsid w:val="16276DC8"/>
    <w:rsid w:val="166C507D"/>
    <w:rsid w:val="1A492DFD"/>
    <w:rsid w:val="1BE95E93"/>
    <w:rsid w:val="1C36223C"/>
    <w:rsid w:val="1C583017"/>
    <w:rsid w:val="1DDE0176"/>
    <w:rsid w:val="1E243713"/>
    <w:rsid w:val="1FCD4804"/>
    <w:rsid w:val="21E1145B"/>
    <w:rsid w:val="25135D73"/>
    <w:rsid w:val="25CC244D"/>
    <w:rsid w:val="279A77BB"/>
    <w:rsid w:val="2A637020"/>
    <w:rsid w:val="2B282568"/>
    <w:rsid w:val="2B7B1316"/>
    <w:rsid w:val="2C2F3B2C"/>
    <w:rsid w:val="2E011726"/>
    <w:rsid w:val="2F7E3731"/>
    <w:rsid w:val="30AD65FD"/>
    <w:rsid w:val="31207609"/>
    <w:rsid w:val="340A0CA5"/>
    <w:rsid w:val="343E4C2E"/>
    <w:rsid w:val="3538572B"/>
    <w:rsid w:val="35486A52"/>
    <w:rsid w:val="35B543C7"/>
    <w:rsid w:val="35CD0694"/>
    <w:rsid w:val="37790E1B"/>
    <w:rsid w:val="38EC33F4"/>
    <w:rsid w:val="396B1320"/>
    <w:rsid w:val="3C546DFD"/>
    <w:rsid w:val="3E2428C0"/>
    <w:rsid w:val="3E35488E"/>
    <w:rsid w:val="41864353"/>
    <w:rsid w:val="4234729F"/>
    <w:rsid w:val="42CD2859"/>
    <w:rsid w:val="4489424B"/>
    <w:rsid w:val="455E5652"/>
    <w:rsid w:val="45606BBE"/>
    <w:rsid w:val="4652487C"/>
    <w:rsid w:val="48BD3A47"/>
    <w:rsid w:val="4A6263D4"/>
    <w:rsid w:val="4AEE442F"/>
    <w:rsid w:val="4B7E0588"/>
    <w:rsid w:val="4B9665C8"/>
    <w:rsid w:val="4CB44471"/>
    <w:rsid w:val="4D180C2A"/>
    <w:rsid w:val="4DF91B9D"/>
    <w:rsid w:val="4F2F5EA4"/>
    <w:rsid w:val="4FD16C65"/>
    <w:rsid w:val="516D76F5"/>
    <w:rsid w:val="524E71ED"/>
    <w:rsid w:val="54D25C74"/>
    <w:rsid w:val="59521062"/>
    <w:rsid w:val="59C70CD8"/>
    <w:rsid w:val="5AA5449F"/>
    <w:rsid w:val="5D225487"/>
    <w:rsid w:val="5F9944B7"/>
    <w:rsid w:val="613C7FD1"/>
    <w:rsid w:val="6395200B"/>
    <w:rsid w:val="65622E3E"/>
    <w:rsid w:val="67BC34DD"/>
    <w:rsid w:val="67F50FFB"/>
    <w:rsid w:val="69CD29A1"/>
    <w:rsid w:val="6A64613D"/>
    <w:rsid w:val="6AA527A8"/>
    <w:rsid w:val="6BD14CE0"/>
    <w:rsid w:val="6BD82E00"/>
    <w:rsid w:val="6BDC4D3A"/>
    <w:rsid w:val="6CB55A1B"/>
    <w:rsid w:val="6D535020"/>
    <w:rsid w:val="6E3D6BE2"/>
    <w:rsid w:val="6E4C5826"/>
    <w:rsid w:val="6EE81B40"/>
    <w:rsid w:val="6EEF5916"/>
    <w:rsid w:val="710343C8"/>
    <w:rsid w:val="730A6813"/>
    <w:rsid w:val="73CB165B"/>
    <w:rsid w:val="745205D1"/>
    <w:rsid w:val="74564ED0"/>
    <w:rsid w:val="752F4F24"/>
    <w:rsid w:val="759C47A8"/>
    <w:rsid w:val="79A75473"/>
    <w:rsid w:val="7ADC0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Hyperlink"/>
    <w:basedOn w:val="8"/>
    <w:qFormat/>
    <w:uiPriority w:val="0"/>
    <w:rPr>
      <w:color w:val="0000FF"/>
      <w:u w:val="single"/>
    </w:rPr>
  </w:style>
  <w:style w:type="character" w:styleId="10">
    <w:name w:val="annotation reference"/>
    <w:basedOn w:val="8"/>
    <w:qFormat/>
    <w:uiPriority w:val="0"/>
    <w:rPr>
      <w:sz w:val="21"/>
      <w:szCs w:val="21"/>
    </w:rPr>
  </w:style>
  <w:style w:type="character" w:customStyle="1" w:styleId="11">
    <w:name w:val="页眉 Char"/>
    <w:basedOn w:val="8"/>
    <w:link w:val="5"/>
    <w:qFormat/>
    <w:uiPriority w:val="0"/>
    <w:rPr>
      <w:rFonts w:ascii="Calibri" w:hAnsi="Calibri"/>
      <w:kern w:val="2"/>
      <w:sz w:val="18"/>
      <w:szCs w:val="18"/>
    </w:rPr>
  </w:style>
  <w:style w:type="character" w:customStyle="1" w:styleId="12">
    <w:name w:val="页脚 Char"/>
    <w:basedOn w:val="8"/>
    <w:link w:val="4"/>
    <w:qFormat/>
    <w:uiPriority w:val="0"/>
    <w:rPr>
      <w:rFonts w:ascii="Calibri" w:hAnsi="Calibri"/>
      <w:kern w:val="2"/>
      <w:sz w:val="18"/>
      <w:szCs w:val="18"/>
    </w:rPr>
  </w:style>
  <w:style w:type="character" w:customStyle="1" w:styleId="13">
    <w:name w:val="批注框文本 Char"/>
    <w:basedOn w:val="8"/>
    <w:link w:val="3"/>
    <w:qFormat/>
    <w:uiPriority w:val="0"/>
    <w:rPr>
      <w:rFonts w:ascii="Calibri" w:hAnsi="Calibri"/>
      <w:kern w:val="2"/>
      <w:sz w:val="18"/>
      <w:szCs w:val="18"/>
    </w:rPr>
  </w:style>
  <w:style w:type="character" w:customStyle="1" w:styleId="14">
    <w:name w:val="批注文字 Char"/>
    <w:basedOn w:val="8"/>
    <w:link w:val="2"/>
    <w:qFormat/>
    <w:uiPriority w:val="0"/>
    <w:rPr>
      <w:rFonts w:ascii="Calibri" w:hAnsi="Calibri"/>
      <w:kern w:val="2"/>
      <w:sz w:val="21"/>
      <w:szCs w:val="24"/>
    </w:rPr>
  </w:style>
  <w:style w:type="character" w:customStyle="1" w:styleId="15">
    <w:name w:val="批注主题 Char"/>
    <w:basedOn w:val="14"/>
    <w:link w:val="6"/>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微软公司</Company>
  <Pages>2</Pages>
  <Words>215</Words>
  <Characters>1226</Characters>
  <Lines>10</Lines>
  <Paragraphs>2</Paragraphs>
  <TotalTime>0</TotalTime>
  <ScaleCrop>false</ScaleCrop>
  <LinksUpToDate>false</LinksUpToDate>
  <CharactersWithSpaces>1439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2021-04-07T08:39:00Z</dcterms:created>
  <dc:creator>Administrator</dc:creator>
  <cp:lastModifiedBy>彭建宏</cp:lastModifiedBy>
  <cp:lastPrinted>2021-04-07T08:43:00Z</cp:lastPrinted>
  <dcterms:modified xsi:type="dcterms:W3CDTF">2021-04-16T07:27:37Z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402BCBB6A2504E468241516DF10B5B7A</vt:lpwstr>
  </property>
</Properties>
</file>